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bookmarkStart w:id="0" w:name="_GoBack"/>
      <w:r w:rsidRPr="00D61C09">
        <w:rPr>
          <w:rFonts w:ascii="Arial" w:eastAsia="Times New Roman" w:hAnsi="Arial" w:cs="Arial"/>
          <w:color w:val="242B2D"/>
          <w:sz w:val="20"/>
          <w:szCs w:val="20"/>
          <w:bdr w:val="none" w:sz="0" w:space="0" w:color="auto" w:frame="1"/>
          <w:shd w:val="clear" w:color="auto" w:fill="F4F9D2"/>
        </w:rPr>
        <w:t>PHÒNG GD&amp; ĐT PHONG ĐIỀN     </w:t>
      </w:r>
      <w:r w:rsidRPr="00D61C09">
        <w:rPr>
          <w:rFonts w:ascii="Arial" w:eastAsia="Times New Roman" w:hAnsi="Arial" w:cs="Arial"/>
          <w:b/>
          <w:bCs/>
          <w:color w:val="242B2D"/>
          <w:sz w:val="20"/>
          <w:szCs w:val="20"/>
          <w:bdr w:val="none" w:sz="0" w:space="0" w:color="auto" w:frame="1"/>
          <w:shd w:val="clear" w:color="auto" w:fill="F4F9D2"/>
        </w:rPr>
        <w:t>CỘNG HOÀ XÃ HỘI CHỦ NGHĨA VIỆT NAM</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TRƯỜNG THCS PHONG HẢI                     Độc lập - Tự do - Hạnh phúc</w:t>
      </w:r>
    </w:p>
    <w:tbl>
      <w:tblPr>
        <w:tblpPr w:leftFromText="45" w:rightFromText="45" w:vertAnchor="text"/>
        <w:tblW w:w="0" w:type="auto"/>
        <w:tblCellMar>
          <w:left w:w="0" w:type="dxa"/>
          <w:right w:w="0" w:type="dxa"/>
        </w:tblCellMar>
        <w:tblLook w:val="04A0" w:firstRow="1" w:lastRow="0" w:firstColumn="1" w:lastColumn="0" w:noHBand="0" w:noVBand="1"/>
      </w:tblPr>
      <w:tblGrid>
        <w:gridCol w:w="525"/>
        <w:gridCol w:w="2190"/>
        <w:gridCol w:w="2205"/>
        <w:gridCol w:w="3090"/>
      </w:tblGrid>
      <w:tr w:rsidR="00D61C09" w:rsidRPr="00D61C09" w:rsidTr="00D61C09">
        <w:tc>
          <w:tcPr>
            <w:tcW w:w="52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0" w:lineRule="atLeast"/>
              <w:jc w:val="both"/>
              <w:rPr>
                <w:rFonts w:eastAsia="Times New Roman" w:cs="Times New Roman"/>
                <w:sz w:val="24"/>
                <w:szCs w:val="24"/>
              </w:rPr>
            </w:pPr>
            <w:r w:rsidRPr="00D61C09">
              <w:rPr>
                <w:rFonts w:eastAsia="Times New Roman" w:cs="Times New Roman"/>
                <w:sz w:val="24"/>
                <w:szCs w:val="24"/>
              </w:rPr>
              <w:t> </w:t>
            </w:r>
          </w:p>
        </w:tc>
        <w:tc>
          <w:tcPr>
            <w:tcW w:w="219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0" w:lineRule="atLeast"/>
              <w:jc w:val="both"/>
              <w:rPr>
                <w:rFonts w:eastAsia="Times New Roman" w:cs="Times New Roman"/>
                <w:sz w:val="24"/>
                <w:szCs w:val="24"/>
              </w:rPr>
            </w:pPr>
            <w:r w:rsidRPr="00D61C09">
              <w:rPr>
                <w:rFonts w:eastAsia="Times New Roman" w:cs="Times New Roman"/>
                <w:sz w:val="24"/>
                <w:szCs w:val="24"/>
              </w:rPr>
              <w:t> </w:t>
            </w:r>
          </w:p>
        </w:tc>
        <w:tc>
          <w:tcPr>
            <w:tcW w:w="220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0" w:lineRule="atLeast"/>
              <w:jc w:val="both"/>
              <w:rPr>
                <w:rFonts w:eastAsia="Times New Roman" w:cs="Times New Roman"/>
                <w:sz w:val="24"/>
                <w:szCs w:val="24"/>
              </w:rPr>
            </w:pPr>
            <w:r w:rsidRPr="00D61C09">
              <w:rPr>
                <w:rFonts w:eastAsia="Times New Roman" w:cs="Times New Roman"/>
                <w:sz w:val="24"/>
                <w:szCs w:val="24"/>
              </w:rPr>
              <w:t> </w:t>
            </w:r>
          </w:p>
        </w:tc>
        <w:tc>
          <w:tcPr>
            <w:tcW w:w="309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0" w:lineRule="atLeast"/>
              <w:jc w:val="both"/>
              <w:rPr>
                <w:rFonts w:eastAsia="Times New Roman" w:cs="Times New Roman"/>
                <w:sz w:val="24"/>
                <w:szCs w:val="24"/>
              </w:rPr>
            </w:pPr>
            <w:r w:rsidRPr="00D61C09">
              <w:rPr>
                <w:rFonts w:eastAsia="Times New Roman" w:cs="Times New Roman"/>
                <w:sz w:val="24"/>
                <w:szCs w:val="24"/>
              </w:rPr>
              <w:t> </w:t>
            </w:r>
          </w:p>
        </w:tc>
      </w:tr>
      <w:tr w:rsidR="00D61C09" w:rsidRPr="00D61C09" w:rsidTr="00D61C09">
        <w:trPr>
          <w:trHeight w:val="30"/>
        </w:trPr>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30" w:lineRule="atLeast"/>
              <w:jc w:val="both"/>
              <w:rPr>
                <w:rFonts w:eastAsia="Times New Roman" w:cs="Times New Roman"/>
                <w:sz w:val="24"/>
                <w:szCs w:val="24"/>
              </w:rPr>
            </w:pPr>
            <w:r w:rsidRPr="00D61C09">
              <w:rPr>
                <w:rFonts w:eastAsia="Times New Roman" w:cs="Times New Roman"/>
                <w:sz w:val="24"/>
                <w:szCs w:val="24"/>
              </w:rPr>
              <w:t> </w:t>
            </w:r>
          </w:p>
        </w:tc>
        <w:tc>
          <w:tcPr>
            <w:tcW w:w="0" w:type="auto"/>
            <w:tcBorders>
              <w:top w:val="single" w:sz="6" w:space="0" w:color="BBBBBB"/>
              <w:left w:val="single" w:sz="6" w:space="0" w:color="BBBBBB"/>
              <w:bottom w:val="single" w:sz="6" w:space="0" w:color="BBBBBB"/>
              <w:right w:val="single" w:sz="6" w:space="0" w:color="BBBBBB"/>
            </w:tcBorders>
            <w:hideMark/>
          </w:tcPr>
          <w:p w:rsidR="00D61C09" w:rsidRPr="00D61C09" w:rsidRDefault="00D61C09" w:rsidP="002B6F74">
            <w:pPr>
              <w:spacing w:after="0" w:line="30" w:lineRule="atLeast"/>
              <w:jc w:val="both"/>
              <w:rPr>
                <w:rFonts w:eastAsia="Times New Roman" w:cs="Times New Roman"/>
                <w:sz w:val="24"/>
                <w:szCs w:val="24"/>
              </w:rPr>
            </w:pPr>
            <w:r w:rsidRPr="00D61C09">
              <w:rPr>
                <w:rFonts w:eastAsia="Times New Roman" w:cs="Times New Roman"/>
                <w:sz w:val="24"/>
                <w:szCs w:val="24"/>
              </w:rPr>
              <w:t> </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30" w:lineRule="atLeast"/>
              <w:jc w:val="both"/>
              <w:rPr>
                <w:rFonts w:eastAsia="Times New Roman" w:cs="Times New Roman"/>
                <w:sz w:val="24"/>
                <w:szCs w:val="24"/>
              </w:rPr>
            </w:pPr>
            <w:r w:rsidRPr="00D61C09">
              <w:rPr>
                <w:rFonts w:eastAsia="Times New Roman" w:cs="Times New Roman"/>
                <w:sz w:val="24"/>
                <w:szCs w:val="24"/>
              </w:rPr>
              <w:t> </w:t>
            </w:r>
          </w:p>
        </w:tc>
        <w:tc>
          <w:tcPr>
            <w:tcW w:w="0" w:type="auto"/>
            <w:tcBorders>
              <w:top w:val="single" w:sz="6" w:space="0" w:color="BBBBBB"/>
              <w:left w:val="single" w:sz="6" w:space="0" w:color="BBBBBB"/>
              <w:bottom w:val="single" w:sz="6" w:space="0" w:color="BBBBBB"/>
              <w:right w:val="single" w:sz="6" w:space="0" w:color="BBBBBB"/>
            </w:tcBorders>
            <w:hideMark/>
          </w:tcPr>
          <w:p w:rsidR="00D61C09" w:rsidRPr="00D61C09" w:rsidRDefault="00D61C09" w:rsidP="002B6F74">
            <w:pPr>
              <w:spacing w:after="0" w:line="30" w:lineRule="atLeast"/>
              <w:jc w:val="both"/>
              <w:rPr>
                <w:rFonts w:eastAsia="Times New Roman" w:cs="Times New Roman"/>
                <w:sz w:val="24"/>
                <w:szCs w:val="24"/>
              </w:rPr>
            </w:pPr>
            <w:r w:rsidRPr="00D61C09">
              <w:rPr>
                <w:rFonts w:eastAsia="Times New Roman" w:cs="Times New Roman"/>
                <w:sz w:val="24"/>
                <w:szCs w:val="24"/>
              </w:rPr>
              <w:t> </w:t>
            </w:r>
          </w:p>
        </w:tc>
      </w:tr>
    </w:tbl>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Phong Hải, ngày 03 tháng 01 năm 2021</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 </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BÁO CÁO SƠ KẾT CÁ NHÂN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HỌC KỲ 1 - NĂM HỌC 2021 – 2022</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Họ và tên:</w:t>
      </w:r>
      <w:r w:rsidRPr="00D61C09">
        <w:rPr>
          <w:rFonts w:ascii="Arial" w:eastAsia="Times New Roman" w:hAnsi="Arial" w:cs="Arial"/>
          <w:b/>
          <w:bCs/>
          <w:color w:val="242B2D"/>
          <w:sz w:val="20"/>
          <w:szCs w:val="20"/>
          <w:bdr w:val="none" w:sz="0" w:space="0" w:color="auto" w:frame="1"/>
          <w:shd w:val="clear" w:color="auto" w:fill="F4F9D2"/>
        </w:rPr>
        <w:t> LÊ VĂN TIẾN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Chức vụ: Giáo viên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Công tác được giao: Giảng dạy Địa 6,7,8,9; Bồi dưỡng HSG Địa 8,9.</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Hướng dẫn HS dự thi KHKT cấp huyện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Tổ: Sử-Địa-GDĐP.</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Danh hiệu thi đua đăng ký đầu năm: Lao động Tiên tiến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 </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I. Đánh giá đặc điểm tình hình năm học:</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1. Thuận lợi:</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Được sự quan tâm chỉ đạo của BGH nhà trường, tổ chuyên môn, đoàn thể.</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Được phân công giảng dạy đúng chuyên môn nghiệp vụ.</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Được công tác trong môi trường sư phạm đoàn kết, thân thiện, lành mạnh.</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Đa số học sinh ngoan, có tinh thần học tập khá cao, được phụ huynh luôn quan tâm.</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Cơ sở vật chất khá đầy đủ, phòng học được nâng cấp thoáng mát.</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 </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2. Khó khăn: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Một số phụ huynh chưa quan tâm đến việc học tập của con em.</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Tinh thần tự giác học tập và ý thức kỷ luật của một số em chưa cao, phần lớn các em thiếu sách tham khảo, phương tiện học tập.</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Nhiều em học học sinh có thái độ ỷ lại, cá tính, ngồi học mất tập trung khá phổ biến nên ít nhiều đã ảnh hưởng đến chất lượng dạy - học.</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Trang thiết bị đồ dùng dạy học còn thiếu, bố trí chưa hợp lý và không đồng bộ.</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II. Đánh giá thực trạng công tác đã qua:</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A. Thực hiện các cuộc vận động, phong trào thi đua:</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1. Cuộc vận động “Học tập và làm theo tấm gương đạo đức Hồ Chí Minh”</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Hưởng ứng tích cực cuộc vận động “ Học tập và làm theo tấm gương đạo đức Hồ Chí Minh”</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2. Cuộc vận động “Mỗi thầy cô giáo là một tấm gương tự học và sáng tạo”</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Hưởng ứng tích cực cuộc vận động “Mỗi thầy cô giáo là một tấm gương tự học và sáng tạo”</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3. Phong trào thi đua xây dựng “Trường học thân thiện, học sinh tích cực”</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Hưởng ứng tích cực cuộc vận động “Trường học thân thiện, học sinh tích cực”</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 </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B. Hiệu quả thực hiện kế hoạch chuyên môn: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1. Hướng dẫn 2 học sinh tham gia hội thi KHKT cấp huyện đạt giải nhất</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2. Công tác quản lý lớp: 7/2</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Học kỳ 1: 27 HS;  nữ: 16</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3. Thực hiện đổi mới phương pháp, nâng cao chất lượng giáo dục:</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Luôn cải tiến trong khâu soạn giảng, chấm chữa đầy đủ kịp thời.</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Sử dụng đồ dùng dạy học, ƯD CNTT hiệu quả vào trong giảng dạy.</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4. Tham gia tập huấn các chuyên đề:</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Tập huấn các chuyên đề:</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5. Dự giờ thăm lớp, thao giảng:</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Thực hiện tốt theo kế hoạch tổ đã đề ra.</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6. Kiểm tra theo kế hoạch tổ chuyên môn: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 Tổ chuyên môn kiểm tra HSSS.</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7. Đánh giá ứng dụng CNTT vào giảng dạy:</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ƯD CNTT vào giảng dạy thao giảng và giảng dạy thường xuyên đối với khối 6.</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lastRenderedPageBreak/>
        <w:t>- Cập nhật lịch báo giảng, cập nhật điểm kịp thời trên sổ điểm, trang Web của sở GD.</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8. Tổng hợp chất lượng bộ môn:</w:t>
      </w:r>
    </w:p>
    <w:tbl>
      <w:tblPr>
        <w:tblW w:w="9075" w:type="dxa"/>
        <w:tblCellMar>
          <w:left w:w="0" w:type="dxa"/>
          <w:right w:w="0" w:type="dxa"/>
        </w:tblCellMar>
        <w:tblLook w:val="04A0" w:firstRow="1" w:lastRow="0" w:firstColumn="1" w:lastColumn="0" w:noHBand="0" w:noVBand="1"/>
      </w:tblPr>
      <w:tblGrid>
        <w:gridCol w:w="705"/>
        <w:gridCol w:w="705"/>
        <w:gridCol w:w="765"/>
        <w:gridCol w:w="780"/>
        <w:gridCol w:w="765"/>
        <w:gridCol w:w="780"/>
        <w:gridCol w:w="765"/>
        <w:gridCol w:w="780"/>
        <w:gridCol w:w="765"/>
        <w:gridCol w:w="780"/>
        <w:gridCol w:w="765"/>
        <w:gridCol w:w="720"/>
      </w:tblGrid>
      <w:tr w:rsidR="00D61C09" w:rsidRPr="00D61C09" w:rsidTr="00D61C09">
        <w:tc>
          <w:tcPr>
            <w:tcW w:w="705" w:type="dxa"/>
            <w:vMerge w:val="restart"/>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Lớp</w:t>
            </w:r>
          </w:p>
        </w:tc>
        <w:tc>
          <w:tcPr>
            <w:tcW w:w="705" w:type="dxa"/>
            <w:vMerge w:val="restart"/>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Sĩ số</w:t>
            </w:r>
          </w:p>
        </w:tc>
        <w:tc>
          <w:tcPr>
            <w:tcW w:w="1545" w:type="dxa"/>
            <w:gridSpan w:val="2"/>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8-10</w:t>
            </w:r>
          </w:p>
        </w:tc>
        <w:tc>
          <w:tcPr>
            <w:tcW w:w="1545" w:type="dxa"/>
            <w:gridSpan w:val="2"/>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6.5 - 8</w:t>
            </w:r>
          </w:p>
        </w:tc>
        <w:tc>
          <w:tcPr>
            <w:tcW w:w="1545" w:type="dxa"/>
            <w:gridSpan w:val="2"/>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5 - 6.5</w:t>
            </w:r>
          </w:p>
        </w:tc>
        <w:tc>
          <w:tcPr>
            <w:tcW w:w="1545" w:type="dxa"/>
            <w:gridSpan w:val="2"/>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3.5 - 5</w:t>
            </w:r>
          </w:p>
        </w:tc>
        <w:tc>
          <w:tcPr>
            <w:tcW w:w="1485" w:type="dxa"/>
            <w:gridSpan w:val="2"/>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0 - 3.5</w:t>
            </w:r>
          </w:p>
        </w:tc>
      </w:tr>
      <w:tr w:rsidR="00D61C09" w:rsidRPr="00D61C09" w:rsidTr="00D61C09">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SL</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SL</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SL</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SL</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SL</w:t>
            </w:r>
          </w:p>
        </w:tc>
        <w:tc>
          <w:tcPr>
            <w:tcW w:w="72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w:t>
            </w:r>
          </w:p>
        </w:tc>
      </w:tr>
      <w:tr w:rsidR="00D61C09" w:rsidRPr="00D61C09" w:rsidTr="00D61C09">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7/1</w:t>
            </w:r>
          </w:p>
        </w:tc>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26</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17</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65.4</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5</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19.2</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4</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15.4</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2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r>
      <w:tr w:rsidR="00D61C09" w:rsidRPr="00D61C09" w:rsidTr="00D61C09">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7/2</w:t>
            </w:r>
          </w:p>
        </w:tc>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27</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17</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63</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8</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29.6</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7.4</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2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r>
      <w:tr w:rsidR="00D61C09" w:rsidRPr="00D61C09" w:rsidTr="00D61C09">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8/1</w:t>
            </w:r>
          </w:p>
        </w:tc>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33</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9</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27.3</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22</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66.7</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6.1</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2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r>
      <w:tr w:rsidR="00D61C09" w:rsidRPr="00D61C09" w:rsidTr="00D61C09">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8/2</w:t>
            </w:r>
          </w:p>
        </w:tc>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34</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8</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23.5</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24</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70.6</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5.9</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2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r>
      <w:tr w:rsidR="00D61C09" w:rsidRPr="00D61C09" w:rsidTr="00D61C09">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9/1</w:t>
            </w:r>
          </w:p>
        </w:tc>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22</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14</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63.6</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5</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22.7</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3</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13.6</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2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r>
      <w:tr w:rsidR="00D61C09" w:rsidRPr="00D61C09" w:rsidTr="00D61C09">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9/2</w:t>
            </w:r>
          </w:p>
        </w:tc>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23</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15</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65.2</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8</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34.8</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8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20"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r>
      <w:tr w:rsidR="00D61C09" w:rsidRPr="00D61C09" w:rsidTr="00D61C09">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TS</w:t>
            </w:r>
          </w:p>
        </w:tc>
        <w:tc>
          <w:tcPr>
            <w:tcW w:w="70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165</w:t>
            </w:r>
          </w:p>
        </w:tc>
        <w:tc>
          <w:tcPr>
            <w:tcW w:w="76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80</w:t>
            </w:r>
          </w:p>
        </w:tc>
        <w:tc>
          <w:tcPr>
            <w:tcW w:w="780"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48.5</w:t>
            </w:r>
          </w:p>
        </w:tc>
        <w:tc>
          <w:tcPr>
            <w:tcW w:w="76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72</w:t>
            </w:r>
          </w:p>
        </w:tc>
        <w:tc>
          <w:tcPr>
            <w:tcW w:w="780"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43.6</w:t>
            </w:r>
          </w:p>
        </w:tc>
        <w:tc>
          <w:tcPr>
            <w:tcW w:w="76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13</w:t>
            </w:r>
          </w:p>
        </w:tc>
        <w:tc>
          <w:tcPr>
            <w:tcW w:w="76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7.9</w:t>
            </w:r>
          </w:p>
        </w:tc>
        <w:tc>
          <w:tcPr>
            <w:tcW w:w="765" w:type="dxa"/>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80"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65"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c>
          <w:tcPr>
            <w:tcW w:w="720" w:type="dxa"/>
            <w:tcBorders>
              <w:top w:val="single" w:sz="6" w:space="0" w:color="BBBBBB"/>
              <w:left w:val="single" w:sz="6" w:space="0" w:color="BBBBBB"/>
              <w:bottom w:val="single" w:sz="6" w:space="0" w:color="BBBBBB"/>
              <w:right w:val="single" w:sz="6" w:space="0" w:color="BBBBBB"/>
            </w:tcBorders>
            <w:noWrap/>
            <w:vAlign w:val="bottom"/>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0</w:t>
            </w:r>
          </w:p>
        </w:tc>
      </w:tr>
    </w:tbl>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9. Tổng hợp chất lượng toàn diện</w:t>
      </w:r>
    </w:p>
    <w:tbl>
      <w:tblPr>
        <w:tblW w:w="4650" w:type="pct"/>
        <w:tblCellMar>
          <w:left w:w="0" w:type="dxa"/>
          <w:right w:w="0" w:type="dxa"/>
        </w:tblCellMar>
        <w:tblLook w:val="04A0" w:firstRow="1" w:lastRow="0" w:firstColumn="1" w:lastColumn="0" w:noHBand="0" w:noVBand="1"/>
      </w:tblPr>
      <w:tblGrid>
        <w:gridCol w:w="747"/>
        <w:gridCol w:w="825"/>
        <w:gridCol w:w="499"/>
        <w:gridCol w:w="769"/>
        <w:gridCol w:w="769"/>
        <w:gridCol w:w="734"/>
        <w:gridCol w:w="724"/>
        <w:gridCol w:w="859"/>
        <w:gridCol w:w="734"/>
        <w:gridCol w:w="769"/>
        <w:gridCol w:w="567"/>
        <w:gridCol w:w="724"/>
      </w:tblGrid>
      <w:tr w:rsidR="00D61C09" w:rsidRPr="00D61C09" w:rsidTr="00D61C09">
        <w:tc>
          <w:tcPr>
            <w:tcW w:w="0" w:type="auto"/>
            <w:vMerge w:val="restart"/>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Lớp</w:t>
            </w:r>
          </w:p>
        </w:tc>
        <w:tc>
          <w:tcPr>
            <w:tcW w:w="0" w:type="auto"/>
            <w:vMerge w:val="restart"/>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Sĩ số</w:t>
            </w:r>
          </w:p>
        </w:tc>
        <w:tc>
          <w:tcPr>
            <w:tcW w:w="0" w:type="auto"/>
            <w:vMerge w:val="restart"/>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 </w:t>
            </w:r>
          </w:p>
        </w:tc>
        <w:tc>
          <w:tcPr>
            <w:tcW w:w="0" w:type="auto"/>
            <w:gridSpan w:val="5"/>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Học lực</w:t>
            </w:r>
          </w:p>
        </w:tc>
        <w:tc>
          <w:tcPr>
            <w:tcW w:w="0" w:type="auto"/>
            <w:gridSpan w:val="4"/>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Hạnh kiểm</w:t>
            </w:r>
          </w:p>
        </w:tc>
      </w:tr>
      <w:tr w:rsidR="00D61C09" w:rsidRPr="00D61C09" w:rsidTr="00D61C09">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Giỏi</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Khá</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TB</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Yếu</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Kém</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Tốt</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Khá</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TB</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b/>
                <w:bCs/>
                <w:sz w:val="24"/>
                <w:szCs w:val="24"/>
                <w:bdr w:val="none" w:sz="0" w:space="0" w:color="auto" w:frame="1"/>
              </w:rPr>
              <w:t>Yếu</w:t>
            </w:r>
          </w:p>
        </w:tc>
      </w:tr>
      <w:tr w:rsidR="00D61C09" w:rsidRPr="00D61C09" w:rsidTr="00D61C09">
        <w:tc>
          <w:tcPr>
            <w:tcW w:w="0" w:type="auto"/>
            <w:vMerge w:val="restart"/>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7/2</w:t>
            </w:r>
          </w:p>
        </w:tc>
        <w:tc>
          <w:tcPr>
            <w:tcW w:w="0" w:type="auto"/>
            <w:vMerge w:val="restart"/>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27</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SL</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5</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14</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7</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 </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24</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3</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 </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 </w:t>
            </w:r>
          </w:p>
        </w:tc>
      </w:tr>
      <w:tr w:rsidR="00D61C09" w:rsidRPr="00D61C09" w:rsidTr="00D61C09">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18.5</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51.9</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25.9</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3.7</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 </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88.9</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11.1</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 </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61C09" w:rsidRPr="00D61C09" w:rsidRDefault="00D61C09" w:rsidP="002B6F74">
            <w:pPr>
              <w:spacing w:after="0" w:line="240" w:lineRule="auto"/>
              <w:jc w:val="both"/>
              <w:rPr>
                <w:rFonts w:eastAsia="Times New Roman" w:cs="Times New Roman"/>
                <w:sz w:val="24"/>
                <w:szCs w:val="24"/>
              </w:rPr>
            </w:pPr>
            <w:r w:rsidRPr="00D61C09">
              <w:rPr>
                <w:rFonts w:eastAsia="Times New Roman" w:cs="Times New Roman"/>
                <w:sz w:val="24"/>
                <w:szCs w:val="24"/>
              </w:rPr>
              <w:t> </w:t>
            </w:r>
          </w:p>
        </w:tc>
      </w:tr>
    </w:tbl>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10. Hướng phấn đấu trong học kì 2 và cả năm học:</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Phát huy những mặt mạnh đã đạt được và khắt phục những khó khăn để hoàn thành tốt nhiệm vụ được giao và phấn đấu vượt chỉ tiêu chất lượng bộ môn đề ra.</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C. Ý kiến đề xuất với nhà trường:</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b/>
          <w:bCs/>
          <w:color w:val="242B2D"/>
          <w:sz w:val="20"/>
          <w:szCs w:val="20"/>
          <w:bdr w:val="none" w:sz="0" w:space="0" w:color="auto" w:frame="1"/>
          <w:shd w:val="clear" w:color="auto" w:fill="F4F9D2"/>
        </w:rPr>
        <w:t>D. Xếp loại thi đua:</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Cá nhân: Lao động tiên tiến.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Đề xuất khen thưởng cá nhân: Lao động tiên tiến</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NGƯỜI BÁO CÁO</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w:t>
      </w:r>
    </w:p>
    <w:p w:rsidR="00D61C09" w:rsidRPr="00D61C09" w:rsidRDefault="00D61C09" w:rsidP="002B6F74">
      <w:pPr>
        <w:spacing w:after="0" w:line="240" w:lineRule="auto"/>
        <w:jc w:val="both"/>
        <w:rPr>
          <w:rFonts w:ascii="Arial" w:eastAsia="Times New Roman" w:hAnsi="Arial" w:cs="Arial"/>
          <w:color w:val="242B2D"/>
          <w:sz w:val="20"/>
          <w:szCs w:val="20"/>
          <w:bdr w:val="none" w:sz="0" w:space="0" w:color="auto" w:frame="1"/>
          <w:shd w:val="clear" w:color="auto" w:fill="F4F9D2"/>
        </w:rPr>
      </w:pPr>
      <w:r w:rsidRPr="00D61C09">
        <w:rPr>
          <w:rFonts w:ascii="Arial" w:eastAsia="Times New Roman" w:hAnsi="Arial" w:cs="Arial"/>
          <w:color w:val="242B2D"/>
          <w:sz w:val="20"/>
          <w:szCs w:val="20"/>
          <w:bdr w:val="none" w:sz="0" w:space="0" w:color="auto" w:frame="1"/>
          <w:shd w:val="clear" w:color="auto" w:fill="F4F9D2"/>
        </w:rPr>
        <w:t>                                                                                                             Lê Văn Tiến</w:t>
      </w:r>
    </w:p>
    <w:bookmarkEnd w:id="0"/>
    <w:p w:rsidR="00C33144" w:rsidRDefault="00C33144" w:rsidP="002B6F74">
      <w:pPr>
        <w:jc w:val="both"/>
      </w:pPr>
    </w:p>
    <w:sectPr w:rsidR="00C331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09"/>
    <w:rsid w:val="002B6F74"/>
    <w:rsid w:val="00C33144"/>
    <w:rsid w:val="00D6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D61C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61C09"/>
    <w:rPr>
      <w:b/>
      <w:bCs/>
    </w:rPr>
  </w:style>
  <w:style w:type="paragraph" w:styleId="NormalWeb">
    <w:name w:val="Normal (Web)"/>
    <w:basedOn w:val="Normal"/>
    <w:uiPriority w:val="99"/>
    <w:unhideWhenUsed/>
    <w:rsid w:val="00D61C09"/>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D61C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61C09"/>
    <w:rPr>
      <w:b/>
      <w:bCs/>
    </w:rPr>
  </w:style>
  <w:style w:type="paragraph" w:styleId="NormalWeb">
    <w:name w:val="Normal (Web)"/>
    <w:basedOn w:val="Normal"/>
    <w:uiPriority w:val="99"/>
    <w:unhideWhenUsed/>
    <w:rsid w:val="00D61C0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2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cp:revision>
  <dcterms:created xsi:type="dcterms:W3CDTF">2022-01-19T02:01:00Z</dcterms:created>
  <dcterms:modified xsi:type="dcterms:W3CDTF">2022-01-19T02:03:00Z</dcterms:modified>
</cp:coreProperties>
</file>